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r>
        <w:rPr>
          <w:rFonts w:hint="eastAsia" w:ascii="仿宋" w:hAnsi="仿宋" w:eastAsia="仿宋" w:cs="仿宋"/>
          <w:b w:val="0"/>
          <w:bCs w:val="0"/>
          <w:i w:val="0"/>
          <w:iCs w:val="0"/>
          <w:color w:val="000000"/>
          <w:spacing w:val="0"/>
          <w:kern w:val="0"/>
          <w:sz w:val="32"/>
          <w:szCs w:val="32"/>
          <w:shd w:val="clear" w:fill="FFFFFF"/>
          <w:lang w:val="en-US" w:eastAsia="zh-CN" w:bidi="ar"/>
        </w:rPr>
        <w:t>泌环评表〔2024〕5号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42" w:right="0" w:hanging="442" w:hangingChars="100"/>
        <w:jc w:val="center"/>
        <w:rPr>
          <w:rFonts w:hint="eastAsia" w:ascii="宋体" w:hAnsi="宋体" w:eastAsia="宋体" w:cs="宋体"/>
          <w:b/>
          <w:bCs/>
          <w:i w:val="0"/>
          <w:iCs w:val="0"/>
          <w:color w:val="000000"/>
          <w:spacing w:val="0"/>
          <w:kern w:val="0"/>
          <w:sz w:val="44"/>
          <w:szCs w:val="44"/>
          <w:shd w:val="clear" w:fill="FFFFFF"/>
          <w:lang w:val="en-US" w:eastAsia="zh-CN" w:bidi="ar"/>
        </w:rPr>
      </w:pPr>
      <w:r>
        <w:rPr>
          <w:rFonts w:hint="eastAsia" w:ascii="宋体" w:hAnsi="宋体" w:eastAsia="宋体" w:cs="宋体"/>
          <w:b/>
          <w:bCs/>
          <w:i w:val="0"/>
          <w:iCs w:val="0"/>
          <w:color w:val="000000"/>
          <w:spacing w:val="0"/>
          <w:kern w:val="0"/>
          <w:sz w:val="44"/>
          <w:szCs w:val="44"/>
          <w:shd w:val="clear" w:fill="FFFFFF"/>
          <w:lang w:val="en-US" w:eastAsia="zh-CN" w:bidi="ar"/>
        </w:rPr>
        <w:t>驻马店市生态环境局泌阳分局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42" w:right="0" w:hanging="402" w:hangingChars="100"/>
        <w:jc w:val="center"/>
        <w:rPr>
          <w:rFonts w:hint="eastAsia" w:ascii="宋体" w:hAnsi="宋体" w:eastAsia="宋体" w:cs="宋体"/>
          <w:b/>
          <w:bCs/>
          <w:i w:val="0"/>
          <w:iCs w:val="0"/>
          <w:color w:val="000000"/>
          <w:spacing w:val="-20"/>
          <w:kern w:val="0"/>
          <w:sz w:val="44"/>
          <w:szCs w:val="44"/>
          <w:shd w:val="clear" w:fill="FFFFFF"/>
          <w:lang w:val="en-US" w:eastAsia="zh-CN" w:bidi="ar"/>
        </w:rPr>
      </w:pPr>
      <w:r>
        <w:rPr>
          <w:rFonts w:hint="eastAsia" w:ascii="宋体" w:hAnsi="宋体" w:eastAsia="宋体" w:cs="宋体"/>
          <w:b/>
          <w:bCs/>
          <w:i w:val="0"/>
          <w:iCs w:val="0"/>
          <w:color w:val="000000"/>
          <w:spacing w:val="-20"/>
          <w:kern w:val="0"/>
          <w:sz w:val="44"/>
          <w:szCs w:val="44"/>
          <w:shd w:val="clear" w:fill="FFFFFF"/>
          <w:lang w:val="en-US" w:eastAsia="zh-CN" w:bidi="ar"/>
        </w:rPr>
        <w:t>关于泌阳县纵横包装材料有限公司工业用包装生产线项目环境影响报告表的批复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42" w:right="0" w:hanging="402" w:hangingChars="100"/>
        <w:jc w:val="center"/>
        <w:rPr>
          <w:rFonts w:hint="eastAsia" w:ascii="宋体" w:hAnsi="宋体" w:eastAsia="宋体" w:cs="宋体"/>
          <w:b/>
          <w:bCs/>
          <w:i w:val="0"/>
          <w:iCs w:val="0"/>
          <w:color w:val="000000"/>
          <w:spacing w:val="-2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b w:val="0"/>
          <w:bCs w:val="0"/>
          <w:i w:val="0"/>
          <w:iCs w:val="0"/>
          <w:color w:val="000000"/>
          <w:spacing w:val="0"/>
          <w:sz w:val="32"/>
          <w:szCs w:val="32"/>
        </w:rPr>
      </w:pPr>
      <w:r>
        <w:rPr>
          <w:rFonts w:hint="eastAsia" w:ascii="仿宋" w:hAnsi="仿宋" w:eastAsia="仿宋" w:cs="仿宋"/>
          <w:b w:val="0"/>
          <w:bCs w:val="0"/>
          <w:i w:val="0"/>
          <w:iCs w:val="0"/>
          <w:color w:val="000000"/>
          <w:spacing w:val="0"/>
          <w:kern w:val="0"/>
          <w:sz w:val="32"/>
          <w:szCs w:val="32"/>
          <w:shd w:val="clear" w:fill="FFFFFF"/>
          <w:lang w:val="en-US" w:eastAsia="zh-CN" w:bidi="ar"/>
        </w:rPr>
        <w:t>泌阳县纵横包装材料有限公司：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rPr>
          <w:rFonts w:hint="eastAsia" w:ascii="仿宋" w:hAnsi="仿宋" w:eastAsia="仿宋" w:cs="仿宋"/>
          <w:i w:val="0"/>
          <w:iCs w:val="0"/>
          <w:color w:val="000000"/>
          <w:spacing w:val="0"/>
          <w:sz w:val="32"/>
          <w:szCs w:val="32"/>
        </w:rPr>
      </w:pPr>
      <w:r>
        <w:rPr>
          <w:rFonts w:hint="eastAsia" w:ascii="仿宋" w:hAnsi="仿宋" w:eastAsia="仿宋" w:cs="仿宋"/>
          <w:i w:val="0"/>
          <w:iCs w:val="0"/>
          <w:color w:val="000000"/>
          <w:spacing w:val="0"/>
          <w:kern w:val="0"/>
          <w:sz w:val="32"/>
          <w:szCs w:val="32"/>
          <w:shd w:val="clear" w:fill="FFFFFF"/>
          <w:lang w:val="en-US" w:eastAsia="zh-CN" w:bidi="ar"/>
        </w:rPr>
        <w:t>你公司上报的由河南绿立方环保技术咨询有限公司编制的《工业用包装生产线项目环境影响报告表（报批版）》（以下简称《报告表》）和河南颐清环保科技有限公司对于该报告表的技术评估意见（颐清评估泌阳表</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24〕001号</w:t>
      </w:r>
      <w:r>
        <w:rPr>
          <w:rFonts w:hint="eastAsia" w:ascii="仿宋" w:hAnsi="仿宋" w:eastAsia="仿宋" w:cs="仿宋"/>
          <w:i w:val="0"/>
          <w:iCs w:val="0"/>
          <w:color w:val="000000"/>
          <w:spacing w:val="0"/>
          <w:kern w:val="0"/>
          <w:sz w:val="32"/>
          <w:szCs w:val="32"/>
          <w:shd w:val="clear" w:fill="FFFFFF"/>
          <w:lang w:val="en-US" w:eastAsia="zh-CN" w:bidi="ar"/>
        </w:rPr>
        <w:t>）己收悉，</w:t>
      </w:r>
      <w:r>
        <w:rPr>
          <w:rFonts w:hint="eastAsia" w:ascii="仿宋" w:hAnsi="仿宋" w:eastAsia="仿宋" w:cs="仿宋"/>
          <w:sz w:val="32"/>
          <w:szCs w:val="32"/>
          <w:lang w:eastAsia="zh-CN"/>
        </w:rPr>
        <w:t>并已</w:t>
      </w:r>
      <w:r>
        <w:rPr>
          <w:rFonts w:hint="eastAsia" w:ascii="仿宋" w:hAnsi="仿宋" w:eastAsia="仿宋" w:cs="仿宋"/>
          <w:sz w:val="32"/>
          <w:szCs w:val="32"/>
        </w:rPr>
        <w:t>在我局网站公示期满。</w:t>
      </w:r>
      <w:r>
        <w:rPr>
          <w:rFonts w:hint="eastAsia" w:ascii="仿宋" w:hAnsi="仿宋" w:eastAsia="仿宋" w:cs="仿宋"/>
          <w:i w:val="0"/>
          <w:iCs w:val="0"/>
          <w:color w:val="000000"/>
          <w:spacing w:val="0"/>
          <w:kern w:val="0"/>
          <w:sz w:val="32"/>
          <w:szCs w:val="32"/>
          <w:shd w:val="clear" w:fill="FFFFFF"/>
          <w:lang w:val="en-US" w:eastAsia="zh-CN" w:bidi="ar"/>
        </w:rPr>
        <w:t>根据《中华人民共和国环境保护法》、《中华人民共和国行政许可法》、《中华人民共和国环境影响评价法》、《建设项目环境保护管理条例》等法律法规规定，经研究，批复如下：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6"/>
        <w:jc w:val="left"/>
        <w:rPr>
          <w:rFonts w:hint="eastAsia" w:ascii="仿宋" w:hAnsi="仿宋" w:eastAsia="仿宋" w:cs="仿宋"/>
          <w:sz w:val="32"/>
          <w:szCs w:val="32"/>
          <w:lang w:val="en-US" w:eastAsia="zh-CN"/>
        </w:rPr>
      </w:pPr>
      <w:r>
        <w:rPr>
          <w:rFonts w:hint="eastAsia" w:ascii="仿宋" w:hAnsi="仿宋" w:eastAsia="仿宋" w:cs="仿宋"/>
          <w:b w:val="0"/>
          <w:bCs w:val="0"/>
          <w:i w:val="0"/>
          <w:iCs w:val="0"/>
          <w:color w:val="000000" w:themeColor="text1"/>
          <w:spacing w:val="0"/>
          <w:kern w:val="0"/>
          <w:sz w:val="32"/>
          <w:szCs w:val="32"/>
          <w:shd w:val="clear" w:fill="FFFFFF"/>
          <w:lang w:val="en-US" w:eastAsia="zh-CN" w:bidi="ar"/>
          <w14:textFill>
            <w14:solidFill>
              <w14:schemeClr w14:val="tx1"/>
            </w14:solidFill>
          </w14:textFill>
        </w:rPr>
        <w:t>工业用包装生产线项目，</w:t>
      </w:r>
      <w:r>
        <w:rPr>
          <w:rFonts w:hint="eastAsia" w:ascii="仿宋" w:hAnsi="仿宋" w:eastAsia="仿宋" w:cs="仿宋"/>
          <w:i w:val="0"/>
          <w:iCs w:val="0"/>
          <w:color w:val="000000" w:themeColor="text1"/>
          <w:spacing w:val="0"/>
          <w:kern w:val="0"/>
          <w:sz w:val="32"/>
          <w:szCs w:val="32"/>
          <w:shd w:val="clear" w:fill="FFFFFF"/>
          <w:lang w:val="en-US" w:eastAsia="zh-CN" w:bidi="ar"/>
          <w14:textFill>
            <w14:solidFill>
              <w14:schemeClr w14:val="tx1"/>
            </w14:solidFill>
          </w14:textFill>
        </w:rPr>
        <w:t>位于泌阳县先进制造业开发区河南中星棉业纺织有限公司南院-3号，租凭厂房总占地面积1600平方米，建设性质为新建。主要生产设备：粉粹机、吹膜机、制袋机、印刷机、混料机、空压机。</w:t>
      </w:r>
      <w:r>
        <w:rPr>
          <w:rFonts w:hint="eastAsia" w:ascii="仿宋" w:hAnsi="仿宋" w:eastAsia="仿宋" w:cs="仿宋"/>
          <w:sz w:val="32"/>
          <w:szCs w:val="32"/>
          <w:lang w:val="en-US" w:eastAsia="zh-CN"/>
        </w:rPr>
        <w:t>项目建成后，年产400万个薄型包装袋和300万个厚型包装袋。项目总投资2000万元，其中环保投资30万元。</w:t>
      </w:r>
    </w:p>
    <w:p>
      <w:pPr>
        <w:numPr>
          <w:ilvl w:val="0"/>
          <w:numId w:val="1"/>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该《报告</w:t>
      </w:r>
      <w:r>
        <w:rPr>
          <w:rFonts w:hint="eastAsia" w:ascii="仿宋" w:hAnsi="仿宋" w:eastAsia="仿宋" w:cs="仿宋"/>
          <w:sz w:val="32"/>
          <w:szCs w:val="32"/>
          <w:lang w:eastAsia="zh-CN"/>
        </w:rPr>
        <w:t>表</w:t>
      </w:r>
      <w:r>
        <w:rPr>
          <w:rFonts w:hint="eastAsia" w:ascii="仿宋" w:hAnsi="仿宋" w:eastAsia="仿宋" w:cs="仿宋"/>
          <w:sz w:val="32"/>
          <w:szCs w:val="32"/>
        </w:rPr>
        <w:t>》内容符合国家</w:t>
      </w:r>
      <w:r>
        <w:rPr>
          <w:rFonts w:hint="eastAsia" w:ascii="仿宋" w:hAnsi="仿宋" w:eastAsia="仿宋" w:cs="仿宋"/>
          <w:sz w:val="32"/>
          <w:szCs w:val="32"/>
          <w:lang w:eastAsia="zh-CN"/>
        </w:rPr>
        <w:t>有关</w:t>
      </w:r>
      <w:r>
        <w:rPr>
          <w:rFonts w:hint="eastAsia" w:ascii="仿宋" w:hAnsi="仿宋" w:eastAsia="仿宋" w:cs="仿宋"/>
          <w:sz w:val="32"/>
          <w:szCs w:val="32"/>
        </w:rPr>
        <w:t>法律法规要求和建设项目环境管理规定，</w:t>
      </w:r>
      <w:r>
        <w:rPr>
          <w:rFonts w:hint="eastAsia" w:ascii="仿宋" w:hAnsi="仿宋" w:eastAsia="仿宋" w:cs="仿宋"/>
          <w:sz w:val="32"/>
          <w:szCs w:val="32"/>
          <w:lang w:eastAsia="zh-CN"/>
        </w:rPr>
        <w:t>评价结论可信，</w:t>
      </w:r>
      <w:r>
        <w:rPr>
          <w:rFonts w:hint="eastAsia" w:ascii="仿宋" w:hAnsi="仿宋" w:eastAsia="仿宋" w:cs="仿宋"/>
          <w:color w:val="000000" w:themeColor="text1"/>
          <w:sz w:val="32"/>
          <w:szCs w:val="32"/>
          <w14:textFill>
            <w14:solidFill>
              <w14:schemeClr w14:val="tx1"/>
            </w14:solidFill>
          </w14:textFill>
        </w:rPr>
        <w:t>原则同意你</w:t>
      </w:r>
      <w:r>
        <w:rPr>
          <w:rFonts w:hint="eastAsia" w:ascii="仿宋" w:hAnsi="仿宋" w:eastAsia="仿宋" w:cs="仿宋"/>
          <w:color w:val="000000" w:themeColor="text1"/>
          <w:sz w:val="32"/>
          <w:szCs w:val="32"/>
          <w:lang w:val="en-US"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按照</w:t>
      </w:r>
      <w:r>
        <w:rPr>
          <w:rFonts w:hint="eastAsia" w:ascii="仿宋" w:hAnsi="仿宋" w:eastAsia="仿宋" w:cs="仿宋"/>
          <w:sz w:val="32"/>
          <w:szCs w:val="32"/>
        </w:rPr>
        <w:t>《报告</w:t>
      </w:r>
      <w:r>
        <w:rPr>
          <w:rFonts w:hint="eastAsia" w:ascii="仿宋" w:hAnsi="仿宋" w:eastAsia="仿宋" w:cs="仿宋"/>
          <w:sz w:val="32"/>
          <w:szCs w:val="32"/>
          <w:lang w:eastAsia="zh-CN"/>
        </w:rPr>
        <w:t>表</w:t>
      </w:r>
      <w:r>
        <w:rPr>
          <w:rFonts w:hint="eastAsia" w:ascii="仿宋" w:hAnsi="仿宋" w:eastAsia="仿宋" w:cs="仿宋"/>
          <w:sz w:val="32"/>
          <w:szCs w:val="32"/>
        </w:rPr>
        <w:t>》所列项目的性质、规模、地点、采用的生产工艺和环境保护对策措施进行项目建设。</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val="en-US"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应向社会公众主动公开</w:t>
      </w:r>
      <w:r>
        <w:rPr>
          <w:rFonts w:hint="eastAsia" w:ascii="仿宋" w:hAnsi="仿宋" w:eastAsia="仿宋" w:cs="仿宋"/>
          <w:color w:val="000000" w:themeColor="text1"/>
          <w:sz w:val="32"/>
          <w:szCs w:val="32"/>
          <w:lang w:eastAsia="zh-CN"/>
          <w14:textFill>
            <w14:solidFill>
              <w14:schemeClr w14:val="tx1"/>
            </w14:solidFill>
          </w14:textFill>
        </w:rPr>
        <w:t>业经批准的</w:t>
      </w:r>
      <w:r>
        <w:rPr>
          <w:rFonts w:hint="eastAsia" w:ascii="仿宋" w:hAnsi="仿宋" w:eastAsia="仿宋" w:cs="仿宋"/>
          <w:color w:val="000000" w:themeColor="text1"/>
          <w:sz w:val="32"/>
          <w:szCs w:val="32"/>
          <w14:textFill>
            <w14:solidFill>
              <w14:schemeClr w14:val="tx1"/>
            </w14:solidFill>
          </w14:textFill>
        </w:rPr>
        <w:t>《报告</w:t>
      </w:r>
      <w:r>
        <w:rPr>
          <w:rFonts w:hint="eastAsia" w:ascii="仿宋" w:hAnsi="仿宋" w:eastAsia="仿宋" w:cs="仿宋"/>
          <w:color w:val="000000" w:themeColor="text1"/>
          <w:sz w:val="32"/>
          <w:szCs w:val="32"/>
          <w:lang w:eastAsia="zh-CN"/>
          <w14:textFill>
            <w14:solidFill>
              <w14:schemeClr w14:val="tx1"/>
            </w14:solidFill>
          </w14:textFill>
        </w:rPr>
        <w:t>表</w:t>
      </w:r>
      <w:r>
        <w:rPr>
          <w:rFonts w:hint="eastAsia" w:ascii="仿宋" w:hAnsi="仿宋" w:eastAsia="仿宋" w:cs="仿宋"/>
          <w:color w:val="000000" w:themeColor="text1"/>
          <w:sz w:val="32"/>
          <w:szCs w:val="32"/>
          <w14:textFill>
            <w14:solidFill>
              <w14:schemeClr w14:val="tx1"/>
            </w14:solidFill>
          </w14:textFill>
        </w:rPr>
        <w:t>》，并接受相关方的垂询。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val="en-US"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应全面落实</w:t>
      </w:r>
      <w:r>
        <w:rPr>
          <w:rFonts w:hint="eastAsia" w:ascii="仿宋" w:hAnsi="仿宋" w:eastAsia="仿宋" w:cs="仿宋"/>
          <w:sz w:val="32"/>
          <w:szCs w:val="32"/>
        </w:rPr>
        <w:t>《报告</w:t>
      </w:r>
      <w:r>
        <w:rPr>
          <w:rFonts w:hint="eastAsia" w:ascii="仿宋" w:hAnsi="仿宋" w:eastAsia="仿宋" w:cs="仿宋"/>
          <w:sz w:val="32"/>
          <w:szCs w:val="32"/>
          <w:lang w:eastAsia="zh-CN"/>
        </w:rPr>
        <w:t>表</w:t>
      </w:r>
      <w:r>
        <w:rPr>
          <w:rFonts w:hint="eastAsia" w:ascii="仿宋" w:hAnsi="仿宋" w:eastAsia="仿宋" w:cs="仿宋"/>
          <w:sz w:val="32"/>
          <w:szCs w:val="32"/>
        </w:rPr>
        <w:t>》提出的各项环境保护措施，确保各项环境保护设施与主体工程同时设计、同时施工、同时投入使用，确保各项污染物达标排放。</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（一）向设计单位提供《报告</w:t>
      </w:r>
      <w:r>
        <w:rPr>
          <w:rFonts w:hint="eastAsia" w:ascii="仿宋" w:hAnsi="仿宋" w:eastAsia="仿宋" w:cs="仿宋"/>
          <w:sz w:val="32"/>
          <w:szCs w:val="32"/>
          <w:lang w:eastAsia="zh-CN"/>
        </w:rPr>
        <w:t>表</w:t>
      </w:r>
      <w:r>
        <w:rPr>
          <w:rFonts w:hint="eastAsia" w:ascii="仿宋" w:hAnsi="仿宋" w:eastAsia="仿宋" w:cs="仿宋"/>
          <w:sz w:val="32"/>
          <w:szCs w:val="32"/>
        </w:rPr>
        <w:t>》和本批复文件，确保项目设计按照环境保护设计规范要求，落实防治环境污染和生态破坏的措施以及环保设施投资概算。</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（二）依据《报告</w:t>
      </w:r>
      <w:r>
        <w:rPr>
          <w:rFonts w:hint="eastAsia" w:ascii="仿宋" w:hAnsi="仿宋" w:eastAsia="仿宋" w:cs="仿宋"/>
          <w:sz w:val="32"/>
          <w:szCs w:val="32"/>
          <w:lang w:eastAsia="zh-CN"/>
        </w:rPr>
        <w:t>表</w:t>
      </w:r>
      <w:r>
        <w:rPr>
          <w:rFonts w:hint="eastAsia" w:ascii="仿宋" w:hAnsi="仿宋" w:eastAsia="仿宋" w:cs="仿宋"/>
          <w:sz w:val="32"/>
          <w:szCs w:val="32"/>
        </w:rPr>
        <w:t>》和本批复文件，对项目建设</w:t>
      </w:r>
      <w:r>
        <w:rPr>
          <w:rFonts w:hint="eastAsia" w:ascii="仿宋" w:hAnsi="仿宋" w:eastAsia="仿宋" w:cs="仿宋"/>
          <w:sz w:val="32"/>
          <w:szCs w:val="32"/>
          <w:lang w:eastAsia="zh-CN"/>
        </w:rPr>
        <w:t>和运行</w:t>
      </w:r>
      <w:r>
        <w:rPr>
          <w:rFonts w:hint="eastAsia" w:ascii="仿宋" w:hAnsi="仿宋" w:eastAsia="仿宋" w:cs="仿宋"/>
          <w:sz w:val="32"/>
          <w:szCs w:val="32"/>
        </w:rPr>
        <w:t>过程中产生的废水、废气、噪声、固体废物等污染，以及</w:t>
      </w:r>
      <w:r>
        <w:rPr>
          <w:rFonts w:hint="eastAsia" w:ascii="仿宋" w:hAnsi="仿宋" w:eastAsia="仿宋" w:cs="仿宋"/>
          <w:sz w:val="32"/>
          <w:szCs w:val="32"/>
          <w:lang w:eastAsia="zh-CN"/>
        </w:rPr>
        <w:t>对</w:t>
      </w:r>
      <w:r>
        <w:rPr>
          <w:rFonts w:hint="eastAsia" w:ascii="仿宋" w:hAnsi="仿宋" w:eastAsia="仿宋" w:cs="仿宋"/>
          <w:sz w:val="32"/>
          <w:szCs w:val="32"/>
        </w:rPr>
        <w:t>生态环境造成的</w:t>
      </w:r>
      <w:r>
        <w:rPr>
          <w:rFonts w:hint="eastAsia" w:ascii="仿宋" w:hAnsi="仿宋" w:eastAsia="仿宋" w:cs="仿宋"/>
          <w:sz w:val="32"/>
          <w:szCs w:val="32"/>
          <w:lang w:eastAsia="zh-CN"/>
        </w:rPr>
        <w:t>影响</w:t>
      </w:r>
      <w:r>
        <w:rPr>
          <w:rFonts w:hint="eastAsia" w:ascii="仿宋" w:hAnsi="仿宋" w:eastAsia="仿宋" w:cs="仿宋"/>
          <w:sz w:val="32"/>
          <w:szCs w:val="32"/>
        </w:rPr>
        <w:t>，采取相应的防治措施</w:t>
      </w:r>
      <w:r>
        <w:rPr>
          <w:rFonts w:hint="eastAsia" w:ascii="仿宋" w:hAnsi="仿宋" w:eastAsia="仿宋" w:cs="仿宋"/>
          <w:sz w:val="32"/>
          <w:szCs w:val="32"/>
          <w:lang w:val="en-US" w:eastAsia="zh-CN"/>
        </w:rPr>
        <w:t>,并做到</w:t>
      </w:r>
      <w:r>
        <w:rPr>
          <w:rFonts w:hint="eastAsia" w:ascii="仿宋" w:hAnsi="仿宋" w:eastAsia="仿宋" w:cs="仿宋"/>
          <w:sz w:val="32"/>
          <w:szCs w:val="32"/>
          <w:lang w:eastAsia="zh-CN"/>
        </w:rPr>
        <w:t>项目运行时外排污染物满足相应要求。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rPr>
          <w:rFonts w:hint="default" w:ascii="仿宋" w:hAnsi="仿宋" w:eastAsia="仿宋" w:cs="仿宋"/>
          <w:i w:val="0"/>
          <w:color w:val="000000"/>
          <w:spacing w:val="0"/>
          <w:sz w:val="32"/>
          <w:szCs w:val="32"/>
          <w:shd w:val="clear" w:fill="FFFFFF"/>
          <w:lang w:val="en-US" w:eastAsia="zh-CN" w:bidi="ar"/>
        </w:rPr>
      </w:pPr>
      <w:r>
        <w:rPr>
          <w:rFonts w:hint="eastAsia" w:ascii="仿宋" w:hAnsi="仿宋" w:eastAsia="仿宋" w:cs="仿宋"/>
          <w:i w:val="0"/>
          <w:color w:val="000000"/>
          <w:spacing w:val="0"/>
          <w:sz w:val="32"/>
          <w:szCs w:val="32"/>
          <w:shd w:val="clear" w:fill="FFFFFF"/>
          <w:lang w:val="en-US" w:eastAsia="zh-CN" w:bidi="ar"/>
        </w:rPr>
        <w:t>1.废水：营运期废水主要为生活污水。生活污水化粪池处理后经市政管网排污泌阳县第二污水处理厂。</w:t>
      </w:r>
    </w:p>
    <w:p>
      <w:pPr>
        <w:spacing w:line="408" w:lineRule="auto"/>
        <w:ind w:firstLine="580"/>
        <w:jc w:val="both"/>
        <w:rPr>
          <w:rFonts w:hint="eastAsia" w:ascii="仿宋" w:hAnsi="仿宋" w:eastAsia="仿宋" w:cs="仿宋"/>
          <w:i w:val="0"/>
          <w:color w:val="000000"/>
          <w:spacing w:val="0"/>
          <w:sz w:val="32"/>
          <w:szCs w:val="32"/>
          <w:shd w:val="clear" w:fill="FFFFFF"/>
          <w:lang w:val="en-US" w:eastAsia="zh-CN" w:bidi="ar"/>
        </w:rPr>
      </w:pPr>
      <w:r>
        <w:rPr>
          <w:rFonts w:hint="eastAsia" w:ascii="仿宋" w:hAnsi="仿宋" w:eastAsia="仿宋" w:cs="仿宋"/>
          <w:i w:val="0"/>
          <w:color w:val="000000"/>
          <w:spacing w:val="0"/>
          <w:sz w:val="32"/>
          <w:szCs w:val="32"/>
          <w:shd w:val="clear" w:fill="FFFFFF"/>
          <w:lang w:val="en-US" w:eastAsia="zh-CN" w:bidi="ar"/>
        </w:rPr>
        <w:t>2.废气：</w:t>
      </w:r>
      <w:r>
        <w:rPr>
          <w:rFonts w:hint="eastAsia" w:ascii="仿宋" w:hAnsi="仿宋" w:eastAsia="仿宋" w:cs="仿宋"/>
          <w:color w:val="000000"/>
          <w:sz w:val="32"/>
          <w:szCs w:val="32"/>
        </w:rPr>
        <w:t>本项目废气主要为吹膜、制袋及印刷工序产生的有机废气，危废暂存间危废暂存过程产生的有机废气。吹膜、制袋、印刷工序以及危废间废气，收集后进入1套UV光催化氧化＋活性炭吸附处理后15m高排气筒排放，非甲烷总烃满足《合成树脂工业污染物排放标准》（GB31572-2015）表5大气污染物特别排放限值要求、《印刷工业挥发性有机物排放标准》（DB41／1956-2020）要求、《河南省重污染天气重点行业应急减排措施制定技术指南》（2021年修订版）塑料行业绩效分级指标A级排放限值要求和《关于全省开展工业企业挥发性有机物专项治理工作中排放建议值的通知》（豫环攻坚办〔2017〕162号）表1其他行业的要求。</w:t>
      </w: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page">
              <wp:posOffset>7023100</wp:posOffset>
            </wp:positionH>
            <wp:positionV relativeFrom="paragraph">
              <wp:posOffset>368300</wp:posOffset>
            </wp:positionV>
            <wp:extent cx="279400" cy="419100"/>
            <wp:effectExtent l="0" t="0" r="6350" b="0"/>
            <wp:wrapSquare wrapText="bothSides"/>
            <wp:docPr id="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MAL"/>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79400" cy="419100"/>
                    </a:xfrm>
                    <a:prstGeom prst="rect">
                      <a:avLst/>
                    </a:prstGeom>
                  </pic:spPr>
                </pic:pic>
              </a:graphicData>
            </a:graphic>
          </wp:anchor>
        </w:drawing>
      </w:r>
    </w:p>
    <w:p>
      <w:pPr>
        <w:numPr>
          <w:ilvl w:val="0"/>
          <w:numId w:val="0"/>
        </w:numPr>
        <w:spacing w:line="408" w:lineRule="auto"/>
        <w:ind w:firstLine="640" w:firstLineChars="200"/>
        <w:jc w:val="both"/>
        <w:rPr>
          <w:rFonts w:hint="default" w:ascii="仿宋" w:hAnsi="仿宋" w:eastAsia="仿宋" w:cs="仿宋"/>
          <w:i w:val="0"/>
          <w:iC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olor w:val="000000" w:themeColor="text1"/>
          <w:spacing w:val="0"/>
          <w:kern w:val="0"/>
          <w:sz w:val="32"/>
          <w:szCs w:val="32"/>
          <w:shd w:val="clear" w:fill="FFFFFF"/>
          <w:lang w:val="en-US" w:eastAsia="zh-CN" w:bidi="ar"/>
          <w14:textFill>
            <w14:solidFill>
              <w14:schemeClr w14:val="tx1"/>
            </w14:solidFill>
          </w14:textFill>
        </w:rPr>
        <w:t>3.噪声：</w:t>
      </w:r>
      <w:r>
        <w:rPr>
          <w:rFonts w:hint="eastAsia" w:ascii="仿宋" w:hAnsi="仿宋" w:eastAsia="仿宋" w:cs="仿宋"/>
          <w:color w:val="000000"/>
          <w:sz w:val="32"/>
          <w:szCs w:val="32"/>
          <w:lang w:val="en-US" w:eastAsia="zh-CN"/>
        </w:rPr>
        <w:t>营运期</w:t>
      </w:r>
      <w:r>
        <w:rPr>
          <w:rFonts w:hint="eastAsia" w:ascii="仿宋" w:hAnsi="仿宋" w:eastAsia="仿宋" w:cs="仿宋"/>
          <w:color w:val="000000"/>
          <w:sz w:val="32"/>
          <w:szCs w:val="32"/>
        </w:rPr>
        <w:t>噪声主要</w:t>
      </w:r>
      <w:r>
        <w:rPr>
          <w:rFonts w:hint="eastAsia" w:ascii="仿宋" w:hAnsi="仿宋" w:eastAsia="仿宋" w:cs="仿宋"/>
          <w:color w:val="000000"/>
          <w:sz w:val="32"/>
          <w:szCs w:val="32"/>
          <w:lang w:val="en-US" w:eastAsia="zh-CN"/>
        </w:rPr>
        <w:t>吹膜机、印刷机等设备的运行噪声。通过隔声减振、合理布局、加强管理等措施，厂界噪声可以满足《工业企业厂界环境噪声排放标准》（GB12348-2008）3类标准限值要求。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210"/>
        </w:tabs>
        <w:kinsoku/>
        <w:wordWrap/>
        <w:overflowPunct/>
        <w:topLinePunct w:val="0"/>
        <w:autoSpaceDE/>
        <w:autoSpaceDN/>
        <w:bidi w:val="0"/>
        <w:adjustRightInd/>
        <w:snapToGrid/>
        <w:spacing w:before="0" w:beforeAutospacing="0" w:after="0" w:afterAutospacing="0" w:line="600" w:lineRule="atLeast"/>
        <w:ind w:left="2" w:leftChars="1" w:right="0" w:rightChars="0" w:firstLine="640" w:firstLineChars="200"/>
        <w:jc w:val="left"/>
        <w:textAlignment w:val="auto"/>
        <w:rPr>
          <w:rFonts w:hint="default" w:ascii="仿宋" w:hAnsi="仿宋" w:eastAsia="仿宋" w:cs="仿宋"/>
          <w:i w:val="0"/>
          <w:iC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olor w:val="000000" w:themeColor="text1"/>
          <w:spacing w:val="0"/>
          <w:kern w:val="0"/>
          <w:sz w:val="32"/>
          <w:szCs w:val="32"/>
          <w:shd w:val="clear" w:fill="FFFFFF"/>
          <w:lang w:val="en-US" w:eastAsia="zh-CN" w:bidi="ar"/>
          <w14:textFill>
            <w14:solidFill>
              <w14:schemeClr w14:val="tx1"/>
            </w14:solidFill>
          </w14:textFill>
        </w:rPr>
        <w:t>4.固体废物：营运期产生的废包装袋收集后外售，废塑料薄膜、不合格品、废油墨、废油墨桶、废油墨抹布、废树脂版、废UV灯管、废活性炭、废过滤网委托有资质的单位处置。生活垃圾交由环卫部门统一处理。</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五、项目建成后，须按照《固定污染源排污许可分类管理名录》规定申报办理排污许可，并按有关规定组织竣工环境保护验收，经验收合格方可正式投入生产或使用。</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六、本批复有效期为5年。如该项目逾期未开工建设，其环境影响报告表应报我局重新审核。项目的性质、规模、地点、采用的生产工艺或者防治污染、防止生态破坏的措施发生重大变动的，应重新报批。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525" w:lineRule="atLeast"/>
        <w:ind w:right="0" w:rightChars="0" w:firstLine="643"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七、本批复仅是对项目环境保护方面的意见。按照深化“放管服”改革关于取消环评审批前置条件，环评与选址意见、用地预审等实施并联审批的要求，项目建设和运行在用地等其他方面，依法需要行政许可的，应依法获得其他行政许可并严格遵守相关法律法规政策前提下方能开工建设和运行。</w:t>
      </w:r>
    </w:p>
    <w:p>
      <w:pPr>
        <w:ind w:firstLine="640"/>
        <w:rPr>
          <w:rFonts w:hint="eastAsia" w:ascii="仿宋_GB2312" w:hAnsi="Times New Roman" w:eastAsia="仿宋_GB2312" w:cs="仿宋_GB2312"/>
          <w:kern w:val="0"/>
          <w:sz w:val="31"/>
          <w:szCs w:val="31"/>
          <w:lang w:val="en-US" w:eastAsia="zh-CN" w:bidi="ar-SA"/>
        </w:rPr>
      </w:pPr>
      <w:r>
        <w:rPr>
          <w:rFonts w:hint="eastAsia" w:ascii="仿宋_GB2312" w:hAnsi="仿宋_GB2312" w:eastAsia="仿宋_GB2312" w:cs="仿宋_GB2312"/>
          <w:sz w:val="32"/>
          <w:szCs w:val="32"/>
          <w:lang w:val="en-US" w:eastAsia="zh-CN"/>
        </w:rPr>
        <w:t>八、</w:t>
      </w:r>
      <w:r>
        <w:rPr>
          <w:rFonts w:hint="default" w:ascii="仿宋_GB2312" w:hAnsi="Times New Roman" w:eastAsia="仿宋_GB2312" w:cs="仿宋_GB2312"/>
          <w:kern w:val="0"/>
          <w:sz w:val="31"/>
          <w:szCs w:val="31"/>
          <w:lang w:val="en-US" w:eastAsia="zh-CN" w:bidi="ar-SA"/>
        </w:rPr>
        <w:t>该项目的日常监督管理由</w:t>
      </w:r>
      <w:r>
        <w:rPr>
          <w:rFonts w:hint="eastAsia" w:ascii="仿宋_GB2312" w:hAnsi="Times New Roman" w:eastAsia="仿宋_GB2312" w:cs="仿宋_GB2312"/>
          <w:kern w:val="0"/>
          <w:sz w:val="31"/>
          <w:szCs w:val="31"/>
          <w:lang w:val="en-US" w:eastAsia="zh-CN" w:bidi="ar-SA"/>
        </w:rPr>
        <w:t>我局属地</w:t>
      </w:r>
      <w:r>
        <w:rPr>
          <w:rFonts w:hint="default" w:ascii="仿宋_GB2312" w:hAnsi="Times New Roman" w:eastAsia="仿宋_GB2312" w:cs="仿宋_GB2312"/>
          <w:kern w:val="0"/>
          <w:sz w:val="31"/>
          <w:szCs w:val="31"/>
          <w:lang w:val="en-US" w:eastAsia="zh-CN" w:bidi="ar-SA"/>
        </w:rPr>
        <w:t>环境</w:t>
      </w:r>
      <w:r>
        <w:rPr>
          <w:rFonts w:hint="eastAsia" w:ascii="仿宋_GB2312" w:hAnsi="Times New Roman" w:eastAsia="仿宋_GB2312" w:cs="仿宋_GB2312"/>
          <w:kern w:val="0"/>
          <w:sz w:val="31"/>
          <w:szCs w:val="31"/>
          <w:lang w:val="en-US" w:eastAsia="zh-CN" w:bidi="ar-SA"/>
        </w:rPr>
        <w:t>执法</w:t>
      </w:r>
      <w:r>
        <w:rPr>
          <w:rFonts w:hint="default" w:ascii="仿宋_GB2312" w:hAnsi="Times New Roman" w:eastAsia="仿宋_GB2312" w:cs="仿宋_GB2312"/>
          <w:kern w:val="0"/>
          <w:sz w:val="31"/>
          <w:szCs w:val="31"/>
          <w:lang w:val="en-US" w:eastAsia="zh-CN" w:bidi="ar-SA"/>
        </w:rPr>
        <w:t>队负责</w:t>
      </w:r>
      <w:r>
        <w:rPr>
          <w:rFonts w:hint="eastAsia" w:ascii="仿宋_GB2312" w:hAnsi="Times New Roman" w:eastAsia="仿宋_GB2312" w:cs="仿宋_GB2312"/>
          <w:kern w:val="0"/>
          <w:sz w:val="31"/>
          <w:szCs w:val="31"/>
          <w:lang w:val="en-US" w:eastAsia="zh-CN" w:bidi="ar-SA"/>
        </w:rPr>
        <w:t>。</w:t>
      </w:r>
    </w:p>
    <w:p>
      <w:pPr>
        <w:ind w:firstLine="640"/>
        <w:rPr>
          <w:rFonts w:hint="eastAsia" w:ascii="仿宋_GB2312" w:hAnsi="Times New Roman" w:eastAsia="仿宋_GB2312" w:cs="仿宋_GB2312"/>
          <w:kern w:val="0"/>
          <w:sz w:val="31"/>
          <w:szCs w:val="31"/>
          <w:lang w:val="en-US" w:eastAsia="zh-CN" w:bidi="ar-SA"/>
        </w:rPr>
      </w:pPr>
    </w:p>
    <w:p>
      <w:pPr>
        <w:ind w:firstLine="640"/>
        <w:rPr>
          <w:rFonts w:hint="default" w:ascii="仿宋_GB2312" w:hAnsi="Times New Roman" w:eastAsia="仿宋_GB2312" w:cs="仿宋_GB2312"/>
          <w:kern w:val="0"/>
          <w:sz w:val="31"/>
          <w:szCs w:val="31"/>
          <w:lang w:val="en-US" w:eastAsia="zh-CN" w:bidi="ar-SA"/>
        </w:rPr>
      </w:pPr>
      <w:bookmarkStart w:id="0" w:name="_GoBack"/>
      <w:bookmarkEnd w:id="0"/>
    </w:p>
    <w:p>
      <w:pPr>
        <w:jc w:val="right"/>
        <w:rPr>
          <w:rFonts w:hint="default"/>
          <w:lang w:val="en-US"/>
        </w:rPr>
      </w:pP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7C338"/>
    <w:multiLevelType w:val="singleLevel"/>
    <w:tmpl w:val="E127C3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Yjc0NzBmYWQzZWQ2NDJiYTJmZWY4ZWYxYzA0YTMifQ=="/>
  </w:docVars>
  <w:rsids>
    <w:rsidRoot w:val="3F3B3ABC"/>
    <w:rsid w:val="0C325AA2"/>
    <w:rsid w:val="13F95EA9"/>
    <w:rsid w:val="173C5FEA"/>
    <w:rsid w:val="25BE08D3"/>
    <w:rsid w:val="2BFF3F70"/>
    <w:rsid w:val="34FB5234"/>
    <w:rsid w:val="3F3B3ABC"/>
    <w:rsid w:val="4EFD55F3"/>
    <w:rsid w:val="73DC4FB3"/>
    <w:rsid w:val="761E2799"/>
    <w:rsid w:val="77DF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2024-03-29T09:59:00Z</dcterms:created>
  <dc:creator>Administrator</dc:creator>
  <cp:lastModifiedBy>Administrator</cp:lastModifiedBy>
  <cp:lastPrinted>2024-04-07T01:37:14Z</cp:lastPrinted>
  <dcterms:modified xsi:type="dcterms:W3CDTF">2024-04-07T01:37:36Z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B07EBC8D45A1404ABE4ACB9D0DB02677_13</vt:lpwstr>
  </property>
</Properties>
</file>